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055" w:rsidRPr="00CF7575" w:rsidRDefault="00593055" w:rsidP="00593055">
      <w:pPr>
        <w:spacing w:after="0" w:line="240" w:lineRule="auto"/>
        <w:jc w:val="center"/>
        <w:rPr>
          <w:rFonts w:ascii="Arial" w:hAnsi="Arial" w:cs="Arial"/>
          <w:color w:val="000000" w:themeColor="text1"/>
          <w:sz w:val="20"/>
          <w:szCs w:val="20"/>
        </w:rPr>
      </w:pPr>
      <w:r w:rsidRPr="00CF7575">
        <w:rPr>
          <w:rFonts w:ascii="Arial" w:hAnsi="Arial" w:cs="Arial"/>
          <w:b/>
          <w:color w:val="000000" w:themeColor="text1"/>
          <w:sz w:val="20"/>
          <w:szCs w:val="20"/>
        </w:rPr>
        <w:t>Phụ lục IV</w:t>
      </w:r>
    </w:p>
    <w:p w:rsidR="00593055" w:rsidRPr="00B539AF" w:rsidRDefault="00593055" w:rsidP="00593055">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 xml:space="preserve">BIỆN PHÁP BẢO VỆ THỰC THỂ VẬT LIỆU HẠT NHÂN </w:t>
      </w:r>
    </w:p>
    <w:p w:rsidR="00593055" w:rsidRPr="00B539AF" w:rsidRDefault="00593055" w:rsidP="00593055">
      <w:pPr>
        <w:spacing w:after="0" w:line="240" w:lineRule="auto"/>
        <w:jc w:val="center"/>
        <w:rPr>
          <w:rFonts w:ascii="Arial" w:hAnsi="Arial" w:cs="Arial"/>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rsidR="00593055" w:rsidRDefault="00593055" w:rsidP="00593055">
      <w:pPr>
        <w:spacing w:after="0" w:line="240" w:lineRule="auto"/>
        <w:rPr>
          <w:rFonts w:ascii="Arial" w:hAnsi="Arial" w:cs="Arial"/>
          <w:b/>
          <w:color w:val="000000" w:themeColor="text1"/>
          <w:sz w:val="20"/>
          <w:szCs w:val="20"/>
        </w:rPr>
      </w:pP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b/>
          <w:color w:val="000000" w:themeColor="text1"/>
          <w:sz w:val="20"/>
          <w:szCs w:val="20"/>
        </w:rPr>
        <w:t xml:space="preserve">I. PHÂN NHÓM </w:t>
      </w:r>
      <w:r w:rsidRPr="00B539AF">
        <w:rPr>
          <w:rFonts w:ascii="Arial" w:hAnsi="Arial" w:cs="Arial"/>
          <w:b/>
          <w:color w:val="000000" w:themeColor="text1"/>
          <w:sz w:val="20"/>
          <w:szCs w:val="20"/>
        </w:rPr>
        <w:t>VẬT LIỆU HẠT NHÂN</w:t>
      </w: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193"/>
        <w:gridCol w:w="2897"/>
        <w:gridCol w:w="993"/>
        <w:gridCol w:w="2270"/>
        <w:gridCol w:w="1656"/>
      </w:tblGrid>
      <w:tr w:rsidR="00593055" w:rsidRPr="00B539AF" w:rsidTr="002C309D">
        <w:tc>
          <w:tcPr>
            <w:tcW w:w="0" w:type="auto"/>
            <w:vMerge w:val="restart"/>
            <w:tcBorders>
              <w:top w:val="single" w:sz="8" w:space="0" w:color="000000"/>
              <w:left w:val="single" w:sz="8" w:space="0" w:color="000000"/>
              <w:bottom w:val="nil"/>
              <w:right w:val="nil"/>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Vật liệu</w:t>
            </w:r>
          </w:p>
        </w:tc>
        <w:tc>
          <w:tcPr>
            <w:tcW w:w="1608" w:type="pct"/>
            <w:vMerge w:val="restart"/>
            <w:tcBorders>
              <w:top w:val="single" w:sz="8" w:space="0" w:color="000000"/>
              <w:left w:val="single" w:sz="8" w:space="0" w:color="000000"/>
              <w:bottom w:val="nil"/>
              <w:right w:val="nil"/>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Dạng</w:t>
            </w:r>
          </w:p>
        </w:tc>
        <w:tc>
          <w:tcPr>
            <w:tcW w:w="2730" w:type="pct"/>
            <w:gridSpan w:val="3"/>
            <w:tcBorders>
              <w:top w:val="single" w:sz="8" w:space="0" w:color="000000"/>
              <w:left w:val="single" w:sz="8" w:space="0" w:color="000000"/>
              <w:bottom w:val="nil"/>
              <w:right w:val="single" w:sz="8" w:space="0" w:color="000000"/>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Nhóm</w:t>
            </w:r>
          </w:p>
        </w:tc>
      </w:tr>
      <w:tr w:rsidR="00593055" w:rsidRPr="00B539AF" w:rsidTr="002C309D">
        <w:tc>
          <w:tcPr>
            <w:tcW w:w="0" w:type="auto"/>
            <w:vMerge/>
            <w:tcBorders>
              <w:top w:val="single" w:sz="8" w:space="0" w:color="000000"/>
              <w:left w:val="single" w:sz="8" w:space="0" w:color="000000"/>
              <w:bottom w:val="nil"/>
              <w:right w:val="nil"/>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p>
        </w:tc>
        <w:tc>
          <w:tcPr>
            <w:tcW w:w="1608" w:type="pct"/>
            <w:vMerge/>
            <w:tcBorders>
              <w:top w:val="single" w:sz="8" w:space="0" w:color="000000"/>
              <w:left w:val="single" w:sz="8" w:space="0" w:color="000000"/>
              <w:bottom w:val="nil"/>
              <w:right w:val="nil"/>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p>
        </w:tc>
        <w:tc>
          <w:tcPr>
            <w:tcW w:w="551" w:type="pct"/>
            <w:tcBorders>
              <w:top w:val="single" w:sz="8" w:space="0" w:color="000000"/>
              <w:left w:val="single" w:sz="8" w:space="0" w:color="000000"/>
              <w:bottom w:val="nil"/>
              <w:right w:val="nil"/>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w:t>
            </w:r>
          </w:p>
        </w:tc>
        <w:tc>
          <w:tcPr>
            <w:tcW w:w="1260" w:type="pct"/>
            <w:tcBorders>
              <w:top w:val="single" w:sz="8" w:space="0" w:color="000000"/>
              <w:left w:val="single" w:sz="8" w:space="0" w:color="000000"/>
              <w:bottom w:val="nil"/>
              <w:right w:val="nil"/>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II</w:t>
            </w:r>
          </w:p>
        </w:tc>
        <w:tc>
          <w:tcPr>
            <w:tcW w:w="919" w:type="pct"/>
            <w:tcBorders>
              <w:top w:val="single" w:sz="8" w:space="0" w:color="000000"/>
              <w:left w:val="single" w:sz="8" w:space="0" w:color="000000"/>
              <w:bottom w:val="nil"/>
              <w:right w:val="single" w:sz="8" w:space="0" w:color="000000"/>
            </w:tcBorders>
            <w:vAlign w:val="center"/>
          </w:tcPr>
          <w:p w:rsidR="00593055" w:rsidRPr="00B539AF" w:rsidRDefault="00593055" w:rsidP="002C309D">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III</w:t>
            </w:r>
          </w:p>
        </w:tc>
      </w:tr>
      <w:tr w:rsidR="00593055" w:rsidRPr="00B539AF" w:rsidTr="002C309D">
        <w:tc>
          <w:tcPr>
            <w:tcW w:w="0" w:type="auto"/>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Pr>
                <w:rFonts w:ascii="Arial" w:hAnsi="Arial" w:cs="Arial"/>
                <w:color w:val="000000" w:themeColor="text1"/>
                <w:sz w:val="20"/>
                <w:szCs w:val="20"/>
              </w:rPr>
              <w:t>Plutoni</w:t>
            </w:r>
            <w:r w:rsidRPr="00B539AF">
              <w:rPr>
                <w:rFonts w:ascii="Arial" w:hAnsi="Arial" w:cs="Arial"/>
                <w:color w:val="000000" w:themeColor="text1"/>
                <w:sz w:val="20"/>
                <w:szCs w:val="20"/>
                <w:vertAlign w:val="superscript"/>
              </w:rPr>
              <w:t>1</w:t>
            </w:r>
          </w:p>
        </w:tc>
        <w:tc>
          <w:tcPr>
            <w:tcW w:w="1608" w:type="pct"/>
            <w:tcBorders>
              <w:top w:val="single" w:sz="8" w:space="0" w:color="000000"/>
              <w:left w:val="single" w:sz="8" w:space="0" w:color="000000"/>
              <w:bottom w:val="nil"/>
              <w:right w:val="nil"/>
            </w:tcBorders>
          </w:tcPr>
          <w:p w:rsidR="00593055" w:rsidRPr="00910E00" w:rsidRDefault="00593055" w:rsidP="002C309D">
            <w:pPr>
              <w:spacing w:after="0" w:line="240" w:lineRule="auto"/>
              <w:rPr>
                <w:rFonts w:ascii="Arial" w:hAnsi="Arial" w:cs="Arial"/>
                <w:color w:val="000000" w:themeColor="text1"/>
                <w:sz w:val="20"/>
                <w:szCs w:val="20"/>
                <w:vertAlign w:val="superscript"/>
              </w:rPr>
            </w:pPr>
            <w:r w:rsidRPr="00B539AF">
              <w:rPr>
                <w:rFonts w:ascii="Arial" w:hAnsi="Arial" w:cs="Arial"/>
                <w:color w:val="000000" w:themeColor="text1"/>
                <w:sz w:val="20"/>
                <w:szCs w:val="20"/>
              </w:rPr>
              <w:t>Chưa chiếu xạ</w:t>
            </w:r>
            <w:r>
              <w:rPr>
                <w:rFonts w:ascii="Arial" w:hAnsi="Arial" w:cs="Arial"/>
                <w:color w:val="000000" w:themeColor="text1"/>
                <w:sz w:val="20"/>
                <w:szCs w:val="20"/>
                <w:vertAlign w:val="superscript"/>
              </w:rPr>
              <w:t>2</w:t>
            </w:r>
          </w:p>
        </w:tc>
        <w:tc>
          <w:tcPr>
            <w:tcW w:w="551" w:type="pct"/>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2kg</w:t>
            </w:r>
          </w:p>
        </w:tc>
        <w:tc>
          <w:tcPr>
            <w:tcW w:w="1260" w:type="pct"/>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&lt; 2 kg và &gt; 500 gam</w:t>
            </w:r>
          </w:p>
        </w:tc>
        <w:tc>
          <w:tcPr>
            <w:tcW w:w="919" w:type="pct"/>
            <w:tcBorders>
              <w:top w:val="single" w:sz="8" w:space="0" w:color="000000"/>
              <w:left w:val="single" w:sz="8" w:space="0" w:color="000000"/>
              <w:bottom w:val="nil"/>
              <w:right w:val="single" w:sz="8" w:space="0" w:color="000000"/>
            </w:tcBorders>
          </w:tcPr>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500 gam và</w:t>
            </w:r>
            <w:r>
              <w:rPr>
                <w:rFonts w:ascii="Arial" w:hAnsi="Arial" w:cs="Arial"/>
                <w:color w:val="000000" w:themeColor="text1"/>
                <w:sz w:val="20"/>
                <w:szCs w:val="20"/>
              </w:rPr>
              <w:t xml:space="preserve"> </w:t>
            </w:r>
            <w:r w:rsidRPr="00B539AF">
              <w:rPr>
                <w:rFonts w:ascii="Arial" w:hAnsi="Arial" w:cs="Arial"/>
                <w:color w:val="000000" w:themeColor="text1"/>
                <w:sz w:val="20"/>
                <w:szCs w:val="20"/>
              </w:rPr>
              <w:t>&gt;15 gam</w:t>
            </w:r>
          </w:p>
        </w:tc>
      </w:tr>
      <w:tr w:rsidR="00593055" w:rsidRPr="00B539AF" w:rsidTr="002C309D">
        <w:tc>
          <w:tcPr>
            <w:tcW w:w="0" w:type="auto"/>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Uran</w:t>
            </w:r>
            <w:r>
              <w:rPr>
                <w:rFonts w:ascii="Arial" w:hAnsi="Arial" w:cs="Arial"/>
                <w:color w:val="000000" w:themeColor="text1"/>
                <w:sz w:val="20"/>
                <w:szCs w:val="20"/>
              </w:rPr>
              <w:t>i</w:t>
            </w:r>
            <w:r w:rsidRPr="00B539AF">
              <w:rPr>
                <w:rFonts w:ascii="Arial" w:hAnsi="Arial" w:cs="Arial"/>
                <w:color w:val="000000" w:themeColor="text1"/>
                <w:sz w:val="20"/>
                <w:szCs w:val="20"/>
              </w:rPr>
              <w:t>-235</w:t>
            </w:r>
          </w:p>
        </w:tc>
        <w:tc>
          <w:tcPr>
            <w:tcW w:w="1608" w:type="pct"/>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Chưa chiếu xạ</w:t>
            </w:r>
            <w:r w:rsidRPr="00B539AF">
              <w:rPr>
                <w:rFonts w:ascii="Arial" w:hAnsi="Arial" w:cs="Arial"/>
                <w:color w:val="000000" w:themeColor="text1"/>
                <w:sz w:val="20"/>
                <w:szCs w:val="20"/>
                <w:vertAlign w:val="superscript"/>
              </w:rPr>
              <w:t>2</w:t>
            </w:r>
            <w:r w:rsidRPr="00B539AF">
              <w:rPr>
                <w:rFonts w:ascii="Arial" w:hAnsi="Arial" w:cs="Arial"/>
                <w:color w:val="000000" w:themeColor="text1"/>
                <w:sz w:val="20"/>
                <w:szCs w:val="20"/>
              </w:rPr>
              <w:t>:</w:t>
            </w:r>
          </w:p>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Đượ</w:t>
            </w:r>
            <w:r>
              <w:rPr>
                <w:rFonts w:ascii="Arial" w:hAnsi="Arial" w:cs="Arial"/>
                <w:color w:val="000000" w:themeColor="text1"/>
                <w:sz w:val="20"/>
                <w:szCs w:val="20"/>
              </w:rPr>
              <w:t xml:space="preserve">c làm giàu </w:t>
            </w: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20% U-235</w:t>
            </w:r>
          </w:p>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Đượ</w:t>
            </w:r>
            <w:r>
              <w:rPr>
                <w:rFonts w:ascii="Arial" w:hAnsi="Arial" w:cs="Arial"/>
                <w:color w:val="000000" w:themeColor="text1"/>
                <w:sz w:val="20"/>
                <w:szCs w:val="20"/>
              </w:rPr>
              <w:t xml:space="preserve">c làm giàu </w:t>
            </w: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10% U-235 và &lt;</w:t>
            </w:r>
            <w:r>
              <w:rPr>
                <w:rFonts w:ascii="Arial" w:hAnsi="Arial" w:cs="Arial"/>
                <w:color w:val="000000" w:themeColor="text1"/>
                <w:sz w:val="20"/>
                <w:szCs w:val="20"/>
              </w:rPr>
              <w:t xml:space="preserve"> </w:t>
            </w:r>
            <w:r w:rsidRPr="00B539AF">
              <w:rPr>
                <w:rFonts w:ascii="Arial" w:hAnsi="Arial" w:cs="Arial"/>
                <w:color w:val="000000" w:themeColor="text1"/>
                <w:sz w:val="20"/>
                <w:szCs w:val="20"/>
              </w:rPr>
              <w:t>20% U-235</w:t>
            </w:r>
          </w:p>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 xml:space="preserve">Được làm giàu </w:t>
            </w:r>
            <w:r w:rsidRPr="00B539AF">
              <w:rPr>
                <w:rFonts w:ascii="Arial" w:hAnsi="Arial" w:cs="Arial"/>
                <w:color w:val="000000" w:themeColor="text1"/>
                <w:sz w:val="20"/>
                <w:szCs w:val="20"/>
                <w:vertAlign w:val="superscript"/>
              </w:rPr>
              <w:t>235</w:t>
            </w:r>
            <w:r w:rsidRPr="00B539AF">
              <w:rPr>
                <w:rFonts w:ascii="Arial" w:hAnsi="Arial" w:cs="Arial"/>
                <w:color w:val="000000" w:themeColor="text1"/>
                <w:sz w:val="20"/>
                <w:szCs w:val="20"/>
              </w:rPr>
              <w:t>U trên mức có trong tự nhiên nhưng &lt; 10%</w:t>
            </w:r>
          </w:p>
        </w:tc>
        <w:tc>
          <w:tcPr>
            <w:tcW w:w="551" w:type="pct"/>
            <w:tcBorders>
              <w:top w:val="single" w:sz="8" w:space="0" w:color="000000"/>
              <w:left w:val="single" w:sz="8" w:space="0" w:color="000000"/>
              <w:bottom w:val="nil"/>
              <w:right w:val="nil"/>
            </w:tcBorders>
          </w:tcPr>
          <w:p w:rsidR="00593055" w:rsidRDefault="00593055" w:rsidP="002C309D">
            <w:pPr>
              <w:spacing w:after="0" w:line="240" w:lineRule="auto"/>
              <w:rPr>
                <w:rFonts w:ascii="Arial Narrow" w:hAnsi="Arial Narrow" w:cs="Arial"/>
                <w:color w:val="000000" w:themeColor="text1"/>
                <w:sz w:val="20"/>
                <w:szCs w:val="20"/>
              </w:rPr>
            </w:pPr>
          </w:p>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5 kg</w:t>
            </w:r>
          </w:p>
        </w:tc>
        <w:tc>
          <w:tcPr>
            <w:tcW w:w="1260" w:type="pct"/>
            <w:tcBorders>
              <w:top w:val="single" w:sz="8" w:space="0" w:color="000000"/>
              <w:left w:val="single" w:sz="8" w:space="0" w:color="000000"/>
              <w:bottom w:val="nil"/>
              <w:right w:val="nil"/>
            </w:tcBorders>
          </w:tcPr>
          <w:p w:rsidR="00593055" w:rsidRDefault="00593055" w:rsidP="002C309D">
            <w:pPr>
              <w:spacing w:after="0" w:line="240" w:lineRule="auto"/>
              <w:rPr>
                <w:rFonts w:ascii="Arial" w:hAnsi="Arial" w:cs="Arial"/>
                <w:color w:val="000000" w:themeColor="text1"/>
                <w:sz w:val="20"/>
                <w:szCs w:val="20"/>
              </w:rPr>
            </w:pPr>
          </w:p>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&lt; 5 kg và &gt; 1 kg</w:t>
            </w:r>
          </w:p>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10 kg</w:t>
            </w:r>
          </w:p>
        </w:tc>
        <w:tc>
          <w:tcPr>
            <w:tcW w:w="919" w:type="pct"/>
            <w:tcBorders>
              <w:top w:val="single" w:sz="8" w:space="0" w:color="000000"/>
              <w:left w:val="single" w:sz="8" w:space="0" w:color="000000"/>
              <w:bottom w:val="nil"/>
              <w:right w:val="single" w:sz="8" w:space="0" w:color="000000"/>
            </w:tcBorders>
          </w:tcPr>
          <w:p w:rsidR="00593055" w:rsidRDefault="00593055" w:rsidP="002C309D">
            <w:pPr>
              <w:spacing w:after="0" w:line="240" w:lineRule="auto"/>
              <w:rPr>
                <w:rFonts w:ascii="Arial Narrow" w:hAnsi="Arial Narrow" w:cs="Arial"/>
                <w:color w:val="000000" w:themeColor="text1"/>
                <w:sz w:val="20"/>
                <w:szCs w:val="20"/>
              </w:rPr>
            </w:pPr>
          </w:p>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1 kg và 15 gam</w:t>
            </w:r>
          </w:p>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&gt; 1 kg và &lt;</w:t>
            </w:r>
            <w:r>
              <w:rPr>
                <w:rFonts w:ascii="Arial" w:hAnsi="Arial" w:cs="Arial"/>
                <w:color w:val="000000" w:themeColor="text1"/>
                <w:sz w:val="20"/>
                <w:szCs w:val="20"/>
              </w:rPr>
              <w:t xml:space="preserve"> </w:t>
            </w:r>
            <w:r w:rsidRPr="00B539AF">
              <w:rPr>
                <w:rFonts w:ascii="Arial" w:hAnsi="Arial" w:cs="Arial"/>
                <w:color w:val="000000" w:themeColor="text1"/>
                <w:sz w:val="20"/>
                <w:szCs w:val="20"/>
              </w:rPr>
              <w:t>10 kg</w:t>
            </w:r>
          </w:p>
          <w:p w:rsidR="00593055" w:rsidRDefault="00593055" w:rsidP="002C309D">
            <w:pPr>
              <w:spacing w:after="0" w:line="240" w:lineRule="auto"/>
              <w:rPr>
                <w:rFonts w:ascii="Arial Narrow" w:hAnsi="Arial Narrow" w:cs="Arial"/>
                <w:color w:val="000000" w:themeColor="text1"/>
                <w:sz w:val="20"/>
                <w:szCs w:val="20"/>
              </w:rPr>
            </w:pPr>
          </w:p>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sidRPr="00B539AF">
              <w:rPr>
                <w:rFonts w:ascii="Arial" w:hAnsi="Arial" w:cs="Arial"/>
                <w:color w:val="000000" w:themeColor="text1"/>
                <w:sz w:val="20"/>
                <w:szCs w:val="20"/>
              </w:rPr>
              <w:t>10 kg</w:t>
            </w:r>
          </w:p>
        </w:tc>
      </w:tr>
      <w:tr w:rsidR="00593055" w:rsidRPr="00B539AF" w:rsidTr="002C309D">
        <w:tc>
          <w:tcPr>
            <w:tcW w:w="0" w:type="auto"/>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Uran</w:t>
            </w:r>
            <w:r>
              <w:rPr>
                <w:rFonts w:ascii="Arial" w:hAnsi="Arial" w:cs="Arial"/>
                <w:color w:val="000000" w:themeColor="text1"/>
                <w:sz w:val="20"/>
                <w:szCs w:val="20"/>
              </w:rPr>
              <w:t>i</w:t>
            </w:r>
            <w:r w:rsidRPr="00B539AF">
              <w:rPr>
                <w:rFonts w:ascii="Arial" w:hAnsi="Arial" w:cs="Arial"/>
                <w:color w:val="000000" w:themeColor="text1"/>
                <w:sz w:val="20"/>
                <w:szCs w:val="20"/>
              </w:rPr>
              <w:t>-233</w:t>
            </w:r>
          </w:p>
        </w:tc>
        <w:tc>
          <w:tcPr>
            <w:tcW w:w="1608" w:type="pct"/>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Chưa chiếu xạ</w:t>
            </w:r>
            <w:r w:rsidRPr="00B539AF">
              <w:rPr>
                <w:rFonts w:ascii="Arial" w:hAnsi="Arial" w:cs="Arial"/>
                <w:color w:val="000000" w:themeColor="text1"/>
                <w:sz w:val="20"/>
                <w:szCs w:val="20"/>
                <w:vertAlign w:val="superscript"/>
              </w:rPr>
              <w:t>2</w:t>
            </w:r>
          </w:p>
        </w:tc>
        <w:tc>
          <w:tcPr>
            <w:tcW w:w="551" w:type="pct"/>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2 kg</w:t>
            </w:r>
          </w:p>
        </w:tc>
        <w:tc>
          <w:tcPr>
            <w:tcW w:w="1260" w:type="pct"/>
            <w:tcBorders>
              <w:top w:val="single" w:sz="8" w:space="0" w:color="000000"/>
              <w:left w:val="single" w:sz="8" w:space="0" w:color="000000"/>
              <w:bottom w:val="nil"/>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&lt; 2 kg và &gt; 500 gam</w:t>
            </w:r>
          </w:p>
        </w:tc>
        <w:tc>
          <w:tcPr>
            <w:tcW w:w="919" w:type="pct"/>
            <w:tcBorders>
              <w:top w:val="single" w:sz="8" w:space="0" w:color="000000"/>
              <w:left w:val="single" w:sz="8" w:space="0" w:color="000000"/>
              <w:bottom w:val="nil"/>
              <w:right w:val="single" w:sz="8" w:space="0" w:color="000000"/>
            </w:tcBorders>
          </w:tcPr>
          <w:p w:rsidR="00593055" w:rsidRPr="00B539AF" w:rsidRDefault="00593055" w:rsidP="002C309D">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500 gam và</w:t>
            </w:r>
            <w:r>
              <w:rPr>
                <w:rFonts w:ascii="Arial" w:hAnsi="Arial" w:cs="Arial"/>
                <w:color w:val="000000" w:themeColor="text1"/>
                <w:sz w:val="20"/>
                <w:szCs w:val="20"/>
              </w:rPr>
              <w:t xml:space="preserve"> </w:t>
            </w:r>
            <w:r w:rsidRPr="00B539AF">
              <w:rPr>
                <w:rFonts w:ascii="Arial" w:hAnsi="Arial" w:cs="Arial"/>
                <w:color w:val="000000" w:themeColor="text1"/>
                <w:sz w:val="20"/>
                <w:szCs w:val="20"/>
              </w:rPr>
              <w:t>&gt;15 gam</w:t>
            </w:r>
          </w:p>
        </w:tc>
      </w:tr>
      <w:tr w:rsidR="00593055" w:rsidRPr="00B539AF" w:rsidTr="002C309D">
        <w:tc>
          <w:tcPr>
            <w:tcW w:w="0" w:type="auto"/>
            <w:tcBorders>
              <w:top w:val="single" w:sz="8" w:space="0" w:color="000000"/>
              <w:left w:val="single" w:sz="8" w:space="0" w:color="000000"/>
              <w:bottom w:val="single" w:sz="8" w:space="0" w:color="000000"/>
              <w:right w:val="nil"/>
            </w:tcBorders>
          </w:tcPr>
          <w:p w:rsidR="00593055" w:rsidRPr="00B539AF" w:rsidRDefault="00593055" w:rsidP="002C309D">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Nhiên liệu đã chiếu xạ</w:t>
            </w:r>
          </w:p>
        </w:tc>
        <w:tc>
          <w:tcPr>
            <w:tcW w:w="1608" w:type="pct"/>
            <w:tcBorders>
              <w:top w:val="single" w:sz="8" w:space="0" w:color="000000"/>
              <w:left w:val="single" w:sz="8" w:space="0" w:color="000000"/>
              <w:bottom w:val="single" w:sz="8" w:space="0" w:color="000000"/>
              <w:right w:val="nil"/>
            </w:tcBorders>
          </w:tcPr>
          <w:p w:rsidR="00593055" w:rsidRPr="00B539AF" w:rsidRDefault="00593055" w:rsidP="002C309D">
            <w:pPr>
              <w:spacing w:after="0" w:line="240" w:lineRule="auto"/>
              <w:rPr>
                <w:rFonts w:ascii="Arial" w:hAnsi="Arial" w:cs="Arial"/>
                <w:color w:val="000000" w:themeColor="text1"/>
                <w:sz w:val="20"/>
                <w:szCs w:val="20"/>
              </w:rPr>
            </w:pPr>
          </w:p>
        </w:tc>
        <w:tc>
          <w:tcPr>
            <w:tcW w:w="551" w:type="pct"/>
            <w:tcBorders>
              <w:top w:val="single" w:sz="8" w:space="0" w:color="000000"/>
              <w:left w:val="single" w:sz="8" w:space="0" w:color="000000"/>
              <w:bottom w:val="single" w:sz="8" w:space="0" w:color="000000"/>
              <w:right w:val="nil"/>
            </w:tcBorders>
          </w:tcPr>
          <w:p w:rsidR="00593055" w:rsidRPr="00B539AF" w:rsidRDefault="00593055" w:rsidP="002C309D">
            <w:pPr>
              <w:spacing w:after="0" w:line="240" w:lineRule="auto"/>
              <w:rPr>
                <w:rFonts w:ascii="Arial" w:hAnsi="Arial" w:cs="Arial"/>
                <w:color w:val="000000" w:themeColor="text1"/>
                <w:sz w:val="20"/>
                <w:szCs w:val="20"/>
              </w:rPr>
            </w:pPr>
          </w:p>
        </w:tc>
        <w:tc>
          <w:tcPr>
            <w:tcW w:w="1260" w:type="pct"/>
            <w:tcBorders>
              <w:top w:val="single" w:sz="8" w:space="0" w:color="000000"/>
              <w:left w:val="single" w:sz="8" w:space="0" w:color="000000"/>
              <w:bottom w:val="single" w:sz="8" w:space="0" w:color="000000"/>
              <w:right w:val="nil"/>
            </w:tcBorders>
          </w:tcPr>
          <w:p w:rsidR="00593055" w:rsidRPr="004541E0" w:rsidRDefault="00593055" w:rsidP="002C309D">
            <w:pPr>
              <w:spacing w:after="0" w:line="240" w:lineRule="auto"/>
              <w:rPr>
                <w:rFonts w:ascii="Arial" w:hAnsi="Arial" w:cs="Arial"/>
                <w:color w:val="000000" w:themeColor="text1"/>
                <w:sz w:val="20"/>
                <w:szCs w:val="20"/>
                <w:vertAlign w:val="superscript"/>
              </w:rPr>
            </w:pPr>
            <w:r w:rsidRPr="00B539AF">
              <w:rPr>
                <w:rFonts w:ascii="Arial" w:hAnsi="Arial" w:cs="Arial"/>
                <w:color w:val="000000" w:themeColor="text1"/>
                <w:sz w:val="20"/>
                <w:szCs w:val="20"/>
              </w:rPr>
              <w:t>Uran nghèo hoặc tự nhiên, Thori hoặc nhiên liệu có độ làm giàu thấp (ít hơn 10% hàm lượng phân hạch)</w:t>
            </w:r>
            <w:r>
              <w:rPr>
                <w:rFonts w:ascii="Arial" w:hAnsi="Arial" w:cs="Arial"/>
                <w:color w:val="000000" w:themeColor="text1"/>
                <w:sz w:val="20"/>
                <w:szCs w:val="20"/>
                <w:vertAlign w:val="superscript"/>
              </w:rPr>
              <w:t>3</w:t>
            </w:r>
          </w:p>
        </w:tc>
        <w:tc>
          <w:tcPr>
            <w:tcW w:w="919" w:type="pct"/>
            <w:tcBorders>
              <w:top w:val="single" w:sz="8" w:space="0" w:color="000000"/>
              <w:left w:val="single" w:sz="8" w:space="0" w:color="000000"/>
              <w:bottom w:val="single" w:sz="8" w:space="0" w:color="000000"/>
              <w:right w:val="single" w:sz="8" w:space="0" w:color="000000"/>
            </w:tcBorders>
          </w:tcPr>
          <w:p w:rsidR="00593055" w:rsidRPr="00B539AF" w:rsidRDefault="00593055" w:rsidP="002C309D">
            <w:pPr>
              <w:spacing w:after="0" w:line="240" w:lineRule="auto"/>
              <w:rPr>
                <w:rFonts w:ascii="Arial" w:hAnsi="Arial" w:cs="Arial"/>
                <w:color w:val="000000" w:themeColor="text1"/>
                <w:sz w:val="20"/>
                <w:szCs w:val="20"/>
              </w:rPr>
            </w:pPr>
          </w:p>
        </w:tc>
      </w:tr>
    </w:tbl>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BẢO VỆ THỰC THỂ VẬT LIỆU HẠT NHÂN TRONG SỬ DỤNG, LƯU GIỮ</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khi sử dụng và lưu giữ vật liệu hạt nhân nhóm 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 Thiết lập khu vực hạn chế ra vào</w:t>
      </w:r>
      <w:r>
        <w:rPr>
          <w:rFonts w:ascii="Arial" w:hAnsi="Arial" w:cs="Arial"/>
          <w:color w:val="000000" w:themeColor="text1"/>
          <w:sz w:val="20"/>
          <w:szCs w:val="20"/>
          <w:vertAlign w:val="superscript"/>
        </w:rPr>
        <w:t>4</w:t>
      </w:r>
      <w:r w:rsidRPr="00B539AF">
        <w:rPr>
          <w:rFonts w:ascii="Arial" w:hAnsi="Arial" w:cs="Arial"/>
          <w:color w:val="000000" w:themeColor="text1"/>
          <w:sz w:val="20"/>
          <w:szCs w:val="20"/>
        </w:rPr>
        <w:t xml:space="preserve"> và áp dụng các biện pháp để kiểm soát, hạn chế việc ra vào khu vực này.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1.2. Thiết lập khu vực được bảo vệ</w:t>
      </w:r>
      <w:r>
        <w:rPr>
          <w:rFonts w:ascii="Arial" w:hAnsi="Arial" w:cs="Arial"/>
          <w:color w:val="000000" w:themeColor="text1"/>
          <w:sz w:val="20"/>
          <w:szCs w:val="20"/>
          <w:vertAlign w:val="superscript"/>
        </w:rPr>
        <w:t>5</w:t>
      </w:r>
      <w:r w:rsidRPr="00B539AF">
        <w:rPr>
          <w:rFonts w:ascii="Arial" w:hAnsi="Arial" w:cs="Arial"/>
          <w:color w:val="000000" w:themeColor="text1"/>
          <w:sz w:val="20"/>
          <w:szCs w:val="20"/>
        </w:rPr>
        <w:t xml:space="preserve"> bảo đảm các yêu cầu: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Nằm trong khu vực hạn chế ra vào;</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rào cản vật lý bao quanh, có thiết bị phát hiện và báo động xâm nhập bất hợp pháp; rào cản vật lý, thiết bị phát hiện và báo động xâm nhập được thiết kế sao cho lực lượng bảo vệ có đủ thời gian để đánh giá nguyên nhân gây báo động, thực hiện ứng phó kịp thời đối với hành vi xâm nhập bất hợp pháp;</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Hạn chế số lượng các lối ra vào và phải lắp các thiết bị phát hiện, báo động sự xâm nhập bất hợp pháp;</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Người được phép ra vào khu vực được bảo vệ phải được hạn chế đến mức thấp nhất và phải mang thẻ có dấu hiệu nhận dạng. Nhân viên của cơ sở có lý lịch nhân thân tốt (không có tiền án, tiền sự, không phải là người đang bị truy cứu trách nhiệm hình sự) và được người đứng đầu cơ sở cho phép bằng văn bản được phép ra vào không cần có người đi kèm. Các đối tượng khác khi vào khu vực được bảo vệ phải được sự đồng ý bằng văn bản của người đứng đầu cơ sở, trong đó ghi rõ người được vào, người đi kèm và thời gian ra vào và có người đi kèm trong toàn bộ thời gian trong khu vực này;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Có biện pháp kiểm tra người, phương tiện vận chuyển, vật phẩm ra vào để phát hiện và ngăn chặn sự ra vào bất hợp pháp, mang các vật bị cấm vào khu vực hoặc mang trái phép vật liệu hạt nhân ra khỏi khu vực.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1.3. Thiết lập khu vực kiểm soát đặc biệt</w:t>
      </w:r>
      <w:r>
        <w:rPr>
          <w:rFonts w:ascii="Arial" w:hAnsi="Arial" w:cs="Arial"/>
          <w:color w:val="000000" w:themeColor="text1"/>
          <w:sz w:val="20"/>
          <w:szCs w:val="20"/>
          <w:vertAlign w:val="superscript"/>
        </w:rPr>
        <w:t>6</w:t>
      </w:r>
      <w:r w:rsidRPr="00B539AF">
        <w:rPr>
          <w:rFonts w:ascii="Arial" w:hAnsi="Arial" w:cs="Arial"/>
          <w:color w:val="000000" w:themeColor="text1"/>
          <w:sz w:val="20"/>
          <w:szCs w:val="20"/>
        </w:rPr>
        <w:t xml:space="preserve"> bảo đảm các yêu cầu: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Nằm trong khu vực được bảo vệ;</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biện pháp giám sát liên tục đối với người có mặt trong khu vực này;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Không cho phép phương tiện vận chuyển cá nhân ra vào;</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Bố trí rào cản vật lý ở khoảng cách hợp lý để ngăn chặn các phương tiện cơ giới đường bộ, đường thủy tiếp cận để phá hoại cơ sở;</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đ) Có quy trình ghi nhận và lưu giữ thông tin về những người đã vào khu vực kiểm soát đặc biệt, người đã sử dụng, quản lý chìa khóa, thẻ ra vào hoặc hệ thống máy tính kiểm soát việc tiếp cận khu vực; thông tin phải được ghi vào sổ theo dõi và lưu giữ ít nhất 5 năm;</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e) Áp dụng các biện pháp bảo đảm an ninh như quy định tại các điểm b, c, d và đ khoản 1.2 Mục này.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1.4. Sử dụng và lưu giữ vật liệu hạt nhân trong phòng có thiết kế kiên cố nằm trong khu vực kiểm soát đặc biệt luôn được khóa và có hệ thống báo động sự tiếp cận bất hợp pháp; khi vật liệu hạt nhân được đặt tạm thời tại khu vực làm việc không có người và ở ngoài phòng kiên cố thì phải có các biện pháp bảo đảm an ninh cần thiết.</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1.5. Xây dựng và thực hiện nội quy quản lý chìa khóa của phòng sử dụng và lưu giữ vật liệu hạt nhân, bảo đảm:</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Định kỳ thay đổi tổ hợp khóa;</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Thay đổi khóa, chìa khóa hoặc tổ hợp khóa, nếu có dấu hiệu mất an ninh.</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1.6. Khi di chuyển vật liệu hạt nhân trong khu vực được bảo vệ hoặc giữa các khu vực được bảo vệ phải áp dụng các biện pháp bảo đảm an ninh cần thiết.</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1.7. Lập hồ sơ quản lý vật liệu hạt nhân, bao gồm các thông tin về địa điểm đặt, dạng, trạng thái vật lý, thành phần và khối lượng của vật liệu hạt nhân, nhật ký sử dụng và lưu giữ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1.8. Tổ chức lực lượng bảo vệ bảo đảm canh gác liên tục 24/24 giờ, thực hiện tuần tra khu vực được bảo vệ, có biện pháp ứng phó, ngăn chặn kịp thời các hành vi tiếp cận bất hợp pháp; nhân viên bảo vệ có lý lịch trong sạch và phải được phổ biến kiến thức về an toàn bức xạ, được huấn luyện và trang bị phù hợp để thực hiện nhiệm vụ.</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1.9. Thiết lập trạm báo động trung tâm nhằm theo dõi và đánh giá các báo động, liên lạc với lực lượng bảo vệ, lực lượng ứng phó, lãnh đạo cơ sở. Trạm báo động trung tâm phải bảo đảm các yêu cầu sau: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Đặt trong khu vực được bảo vệ và phải được thiết kế bảo đảm duy trì hoạt động cả trong trường hợp có tấn công;</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nhân viên trực liên tục 24/24 ;</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Bảo đảm các thông tin về trạm được lưu giữ và bảo vệ;</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biện pháp hạn chế và kiểm soát việc tiếp cận trạm.</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1.10. Bảo đảm để việc truyền dữ liệu từ tất cả các thiết bị phát hiện, báo động xâm nhập về trạm báo động trung tâm và thông tin liên lạc giữa trạm với lực lượng bảo vệ, lực lượng ứng phó, lãnh đạo cơ sở được duy trì trong mọi tình huống.</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1.11. Trang bị hệ thống liên lạc thông tin hai chiều giữa trạm báo động trung tâm, lực lượng bảo vệ, lực lượng ứng phó bảo đảm việc liên lạc trong mọi tình huống.</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1.12. Bảo đảm điện cấp cho các thiết bị báo động, trạm báo động trung tâm được liên tục, không bị ảnh hưởng bởi các hành vi can thiệp, phá hoại bất hợp pháp.</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1.13. Xây dựng và thực hiện quy trình kiểm tra định kỳ hoạt động của các thiết bị phát hiện, báo động xâm nhập bất hợp pháp, hệ thống thông tin liên lạc và các hệ thống bảo vệ khác.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1.14. Xây dựng và thực hiện nội quy về bảo mật thông tin liên quan đến an ninh vật liệu hạt nhân. Hệ thống máy tính sử dụng cho bảo đảm an ninh, an toàn và kiểm soát hạt nhân phải được bảo vệ chống lại mọi hành động phá hoại, bao gồm cả tấn công mạng.</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1.15. Tổ chức phổ biến và cập nhật kiến thức, thông tin, quy định về bảo đảm an ninh vật liệu hạt nhân cho mọi nhân viên làm việc trong khu vực hạn chế ra vào.</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1.16. Xây dựng kế hoạch ứng phó với các tình huống mất an ninh, trong đó bảo đảm sự hợp pháp giữa cơ sở và lực lượng ứng phó bên ngoài; đào tạo cho nhân viên của cơ sở thực hiện các hành động ứng phó sự cố mất an ninh; tổ chức diễn tập kế hoạch ứng phó một năm một lần để đánh giá tính hiệu quả của các biện pháp bảo đảm an ninh.</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1.17. Phối h</w:t>
      </w:r>
      <w:r>
        <w:rPr>
          <w:rFonts w:ascii="Arial" w:hAnsi="Arial" w:cs="Arial"/>
          <w:color w:val="000000" w:themeColor="text1"/>
          <w:sz w:val="20"/>
          <w:szCs w:val="20"/>
        </w:rPr>
        <w:t>ợ</w:t>
      </w:r>
      <w:r w:rsidRPr="00B539AF">
        <w:rPr>
          <w:rFonts w:ascii="Arial" w:hAnsi="Arial" w:cs="Arial"/>
          <w:color w:val="000000" w:themeColor="text1"/>
          <w:sz w:val="20"/>
          <w:szCs w:val="20"/>
        </w:rPr>
        <w:t>p với cơ quan có thẩm quyền tạo điều kiện để lực lượng ứng phó bên ngoài nắm rõ cơ sở, vị trí đặt vật liệu hạt nhân và kiến thức về bảo vệ chống bức xạ.</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lastRenderedPageBreak/>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khi sử dụng và lưu giữ vật liệu hạt nhân nhóm 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2.1. Thực hiện quy định tại các khoản 1.1, 1.2, 1.5, 1.6, 1.7, 1.8, 1.9, 1.10, 1.11, 1.12, 1.13, 1.14, 1.15, 1.16 và 1.17 Mục 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2.2. Sử dụng và lưu giữ vật liệu hạt nhân nhóm II trong khu vực được bảo vệ.</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2.3. Có quy trình ghi nhận và lưu giữ thông tin về tất cả những người đã từng sử dụng, quản lý chìa khóa, thẻ ra vào hoặc hệ thống máy tính kiểm soát việc tiếp cận vật liệu hạt nhân; thông tin phải được lưu giữ ít nhất 5 năm.</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khi sử dụng và lưu giữ vật liệu hạt nhân nhóm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3.1. Thực hiện quy định tại các khoản 1.1, 1.15, 1.16 và 1.17 Mục 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3.2. Sử dụng và lưu giữ vật liệu hạt nhân nhóm III trong khu vực hạn chế ra vào.</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3.3. Khi di chuyển vật liệu hạt nhân trong khu vực hạn chế ra vào phải áp dụng các biện pháp bảo đảm an ninh cần thiết.</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3.4. Tổ chức lực lượng bảo vệ với các nhân viên có nhân thân tin cậy, được huấn luyện và trang bị phù hợp, bảo đảm ứng phó, ngăn chặn kịp thời các hành vi tiếp cận bất hợp pháp.</w:t>
      </w:r>
    </w:p>
    <w:p w:rsidR="00593055" w:rsidRPr="002826C5" w:rsidRDefault="00593055" w:rsidP="00593055">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BẢO VỆ THỰC THỂ VẬT LIỆU HẠT NHÂN TRONG VẬN CHUYỂN</w:t>
      </w:r>
      <w:r>
        <w:rPr>
          <w:rFonts w:ascii="Arial" w:hAnsi="Arial" w:cs="Arial"/>
          <w:b/>
          <w:color w:val="000000" w:themeColor="text1"/>
          <w:sz w:val="20"/>
          <w:szCs w:val="20"/>
          <w:vertAlign w:val="superscript"/>
        </w:rPr>
        <w:t>7</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gửi hàng đối với vận chuyển vật liệu hạt nhân nhóm 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Tổ chức, cá nhân gửi hàng đối với vận chuyển vật liệu hạt nhân nhóm I ngoài việc thực hiện các quy định tại khoản 2 Điều 15 Nghị định này còn phải thực hiện các yêu cầu sau đây: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 Thông báo trước cho bên nhận về kế hoạch vận chuyển, phương thức vận chuyển, lộ trình vận chuyển, thời gian hàng được chuyển tới, vị trí chuyển giao, xác định rõ thời điểm giao trách nhiệm bảo đảm an ninh đối với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1.2. Trước khi vận chuyển, phải có ý kiến đồng ý bằng văn bản của bên nhận hàng, bên vận chuyển về thời điểm, địa điểm, quy trình chuyển giao trách nhiệm bảo đảm an ninh và báo cáo Cục An toàn bức xạ và hạt nhân, Sở Khoa học và Công nghệ địa phương nơi chuyển và nhận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1.3. Lựa chọn tuyến đường vận chuyển, tránh những nơi dễ xảy ra thảm họa tự nhiên hoặc điểm không đảm bảo an ninh quốc gia và trật tự an toàn xã hội; có tuyến đường vận chuyển dự phòng cho trường hợp tuyến đường vận chuyển chính không thực hiện được.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1.4. Hạn chế đến mức thấp nhất số lần và thời gian chuyển giao vật liệu hạt nhân từ phương tiện vận chuyển này sang phương tiện vận chuyển khác hoặc từ kho lưu giữ tạm thời này sang kho lưu giữ tạm thời khác.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1.5.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khối lượng lớn hơn 2000 kilogram đã được khóa hoặc niêm phong thì có thể vận chuyển bằng phương tiện vận chuyển hở nhưng kiện hàng phải được gắn chặt với khoang chở hàng hoặc công-ten-nơ vận chuyển bằng ít nhất hai khóa và các chìa khóa được giữ bởi các cá nhân khác nhau.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1.6. Trước khi chuyển vật liệu hạt nhân lên phương tiện vận chuyển phải kiểm tra phương tiện vận chuyển; ngay sau khi kiểm tra xong, phải bảo đảm phương tiện vận chuyển đỗ ở trong khu vực bảo đảm an ninh hoặc được nhân viên bảo vệ giám sát trong thời gian chờ chuyển vật liệu hạt nhân lên.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1.7. Trước khi vận chuyển, kiểm tra để bảo đảm không có vật lạ gắn vào kiện hàng hoặc khoang hàng; trước khi vận chuyển và trong quá trình chuyển giao vật liệu hạt nhân, phải kiểm tra tính toàn vẹn của các khóa và niêm phong trên kiện hàng, khoang hàng, công-ten-nơ và phương tiện vận chuyển.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1.8. Bố trí trung tâm kiểm soát vận chuyển để theo dõi vị trí của phương tiện vận chuyển, tình trạng an ninh của chuyến vận chuyển, duy trì liên lạc với những người tham gia vận chuyển, lực lượng ứng phó và báo động cho lực lượng ứng phó trong trường hợp có sự tấn công, trung tâm kiểm soát vận chuyển được bảo vệ để duy trì chức năng ngay cả khi có sự tấn công; khi chuyển hàng trong quá trình vận chuyển, trung tâm kiểm soát vận chuyển phải có nhân viên của bên gửi hàng trực gác.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1.9. Bố trí nhân viên bảo vệ tham gia quá trình vận chuyển để giám sát và ứng phó sự cố mất an ninh; phổ biến và giao văn bản quy định trách nhiệm của từng nhân viên trong quá trình vận chuyển; chỉ dẫn nhân viên bảo vệ báo cáo về trung tâm kiểm soát vận chuyển thường xuyên và ngay khi chuyến hàng đến nơi nhận cuối cùng, nơi nghỉ qua đêm hoặc nơi chuyển giao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1.10. Bảo đảm các điều kiện thông tin, liên lạc kịp thời giữa người tham gia vận chuyển, nhân viên bảo vệ đi cùng chuyến vận chuyển, tổ chức vận chuyển, bên gửi, bên nhận, cơ quan công an và các cơ quan, tổ chức liên quan trong suốt quá trình vận chuyển và trong trường hợp khẩn cấp.</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1.11. Xây dựng và diễn tập kế hoạch ứng phó sự cố mất an ninh.</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1.12. Xây dựng và thực hiện nội quy về bảo mật thông tin liên quan đến an ninh vận chuyển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1.13. Tùy thuộc vào từng phương thức vận chuyển, phải thực hiện các yêu cầu bổ sung sau: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Đối với vận chuyển bằng đường bộ, phải sử dụng phương tiện vận chuyển riêng biệt, được thiết kế để chống lại sự tấn công và lắp đặt thiết bị có thể khóa hoạt động phương tiện; mỗi xe vận chuyển phải có ít nhất một nhân viên bảo vệ ngoài người điều khiển phương tiện; mỗi xe vận chuyển phải có ít nhất một xe đi kèm cho nhân viên bảo vệ làm nhiệm vụ giám sát, bảo vệ xe vận chuyển và ứng phó khi cần thiết;</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Đối với vận chuyển bằng đường sắt, phải đặt vật liệu hạt nhân trong toa chở hàng vật liệu; nhân viên bảo vệ phải ở trong toa gần nhất với toa có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Đối với vận chuyển bằng đường thủy, phải sử dụng tàu vận chuyển riêng biệt để chuyên chở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Đối với vận chuyển bằng đường không, phải sử dụng máy bay chuyên chở hàng và vật liệu hạt nhân là hàng hóa duy nhất được chuyên chở trên máy bay.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gửi hàng đối với vận chuyển vật liệu hạt nhân nhóm 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Tổ chức, cá nhân gửi hàng đối với vận chuyển vật liệu hạt nhân nhóm II ngoài việc thực hiện các quy định tại khoản 2 Điều 15 Nghị định này còn phải thực hiện các yêu cầu sau đây: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2.1.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khối lượng lớn hơn 2000 kilogram đã được khóa hoặc niêm phong thì có thể vận chuyển bằng phương tiện vận chuyển hở.</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2.2. Bố trí nhân viên bảo vệ tham gia quá trình vận chuyển để giám sát và ứng phó sự cố mất an ninh; phổ biến và giao bằng văn bản quy định trách nhiệm của từng nhân viên trong quá trình vận chuyển.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2.3. Thực hiện quy định tại các khoản 1.1, 1.2, 1.3, 1.4, 1.6, 1.7, 1.10, 1.11 và 1.12 Mục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gửi hàng đối với vận chuyển vật liệu hạt nhân nhóm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Tổ chức, cá nhân gửi hàng đối với vận chuyển vật liệu hạt nhân nhóm III ngoài việc thực hiện các quy định tại khoản 2 Điều 15 Nghị định này còn phải thực hiện các yêu cầu sau đây: Thực hiện quy định tại các khoản 1.1,1.2, 1.3, 1.4,</w:t>
      </w:r>
      <w:r>
        <w:rPr>
          <w:rFonts w:ascii="Arial" w:hAnsi="Arial" w:cs="Arial"/>
          <w:color w:val="000000" w:themeColor="text1"/>
          <w:sz w:val="20"/>
          <w:szCs w:val="20"/>
        </w:rPr>
        <w:t xml:space="preserve"> </w:t>
      </w:r>
      <w:r w:rsidRPr="00B539AF">
        <w:rPr>
          <w:rFonts w:ascii="Arial" w:hAnsi="Arial" w:cs="Arial"/>
          <w:color w:val="000000" w:themeColor="text1"/>
          <w:sz w:val="20"/>
          <w:szCs w:val="20"/>
        </w:rPr>
        <w:t>1.7, 1.10 và 1.12 Mục III và các khoản 2.1 và 2.2 Mục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vận chuyển đối với vận chuyển vật liệu hạt nhân nhóm 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Thông báo trước cho bên nhận về kế hoạch vận chuyển, phương thức vận chuyển, lộ trình vận chuyển, thời gian hàng được chuyển tới, vị trí chuyển giao, xác định rõ thời điểm giao trách nhiệm bảo đảm an ninh đối với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Trước khi vận chuyển, phải có ý kiến đồng ý bằng văn bản của bên nhận hàng, bên vận chuyển về thời điểm, địa điểm, quy trình chuyển giao trách nhiệm bảo đảm an ninh và báo cáo Cục An toàn bức xạ và hạt nhân, Sở Khoa học và Công nghệ nơi chuyển và nhận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4.3. Lựa chọn tuyến đường vận chuyển, tránh những nơi dễ xảy ra thảm họa tự nhiên hoặc điểm không đảm bảo an ninh quốc gia và trật tự an toàn xã hội; có tuyến đường vận chuyển dự phòng cho trường hợp tuyến đường vận chuyển chính không thực hiện được.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4.4. Hạn chế đến mức thấp nhất số lần và thời gian chuyển giao vật liệu hạt nhân từ phương tiện vận chuyển này sang phương tiện vận chuyển khác hoặc từ kho lưu giữ tạm thời này sang kho lưu giữ tạm thời khác.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4.5.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khối lượng lớn hơn 2000 kilogram đã được khóa hoặc niêm phong thì có thể vận chuyển bằng phương tiện vận chuyển hở nhưng kiện hàng phải được gắn chặt với khoang chở hàng hoặc công-ten-nơ vận chuyển bằng ít nhất hai khóa và các chìa khóa được giữ bởi các cá nhân khác nhau.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4.6. Trước khi chuyển vật liệu hạt nhân lên phương tiện vận chuyển phải kiểm tra phương tiện vận chuyển; ngay sau khi kiểm tra xong, phải bảo đảm phương tiện vận chuyển đỗ ở trong khu vực bảo đảm an ninh hoặc được nhân viên bảo vệ giám sát trong thời gian chờ chuyển vật liệu hạt nhân lên.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4.7. Trước khi vận chuyển, kiểm tra để bảo đảm không có vật lạ gắn vào kiện hàng hoặc khoang hàng; trước khi vận chuyển và trong quá trình chuyển giao vật liệu hạt nhân, phải kiểm tra tính toàn vẹn của các khóa và niêm phong trên kiện hàng, khoang hàng, công-ten-nơ và phương tiện vận chuyển.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4.8. Bố trí trung tâm kiểm soát vận chuyển để theo dõi vị trí của phương tiện vận chuyển, tình trạng an ninh của chuyến vận chuyển, duy trì liên lạc với những người tham gia vận chuyển, lực lượng ứng phó và báo động cho lực lượng ứng phó trong trường hợp có sự tấn công, trung tâm kiểm soát vận chuyển được bảo vệ để duy trì chức năng ngay cả khi có sự tấn công; khi chuyến hàng trong quá trình vận chuyển, trung tâm kiểm soát vận chuyển phải có nhân viên của bên gửi hàng trực gác.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4.9. Bố trí nhân viên bảo vệ tham gia quá trình vận chuyển để giám sát và ứng phó sự cố mất an ninh; phổ biến và giao văn bản quy định trách nhiệm của từng nhân viên trong quá trình vận chuyển; chỉ dẫn nhân viên bảo vệ báo cáo về trung tâm kiểm soát vận chuyển thường xuyên và ngay khi chuyến hàng đến nơi nhận cuối cùng, nơi nghỉ qua đêm hoặc nơi chuyển giao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4.10. Bảo đảm các điều kiện thông tin, liên lạc kịp thời giữa người tham gia vận chuyển, nhân viên bảo vệ đi cùng chuyến vận chuyển, tổ chức vận chuyển, bên gửi, bên nhận, cơ quan công an và các cơ quan, tổ chức liên quan trong suốt quá trình vận chuyển và trong trường hợp khẩn cấp.</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4.11. Xây dựng và diễn tập kế hoạch ứng phó sự cố mất an ninh.</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4.12. Xây dựng và thực hiện nội quy về bảo mật thông tin liên quan đến an ninh vận chuyển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4.13. Tùy thuộc vào từng phương thức vận chuyển, phải thực hiện các yêu cầu bổ sung sau:</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Đối với vận chuyển bằng đường bộ, phải sử dụng phương tiện vận chuyển riêng biệt, được thiết kế để chống lại sự tấn công và lắp đặt thiết bị có thể khóa hoạt động phương tiện; mỗi xe vận chuyển phải có ít nhất một nhân viên bảo vệ ngoài người điều khiển phương tiện; mỗi xe vận chuyển phải có ít nhất một xe đi kèm cho nhân viên bảo vệ làm nhiệm vụ giám sát, bảo vệ xe vận chuyển và ứng phó khi cần thiết;</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Đối với vận chuyển bằng đường sắt, phải đặt vật liệu hạt nhân trong toa chở hàng vật liệu; nhân viên bảo vệ phải ở trong toa gần nhất với toa có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Đối với vận chuyển bằng đường thủy, phải sử dụng tàu vận chuyển riêng biệt để chuyên chở vật liệu hạt nhân;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Đối với vận chuyển bằng đường không, phải sử dụng máy bay chuyên chở hàng và vật liệu hạt nhân là hàng hóa duy nhất được chuyên chở trên máy bay.</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vận chuyển đối với vận chuyển vật liệu hạt nhân nhóm 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5.1.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w:t>
      </w:r>
      <w:r w:rsidRPr="00B539AF">
        <w:rPr>
          <w:rFonts w:ascii="Arial" w:hAnsi="Arial" w:cs="Arial"/>
          <w:color w:val="000000" w:themeColor="text1"/>
          <w:sz w:val="20"/>
          <w:szCs w:val="20"/>
        </w:rPr>
        <w:lastRenderedPageBreak/>
        <w:t>khối lượng lớn hơn 2000 kilogram đã được khóa hoặc niêm phong thì có thể vận chuyển bằng phương tiện vận chuyển hở.</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5.2. Bố trí nhân viên bảo vệ tham gia quá trình vận chuyển để giám sát và ứng phó sự cố mất an ninh; phổ biến và giao bằng văn bản quy định trách nhiệm của từng nhân viên trong quá trình vận chuyển.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5.3. Thực hiện quy định tại các khoản 4.1, 4.2, 4.3, 4.4, 4.6, 4.7, 4.10, 4.11 và 4.12 Mục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6.</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vận chuyển đối với vận chuyển vật liệu hạt nhân nhóm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Thực hiện quy định tại các khoản 4.1, 4.2, 4.3, 4.4, 4.7, 4.10 và 4.12 Mục III và các khoản 5.1 và 5.2 Mục III.</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7.</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nhận hàng</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7.1. Bảo đảm tiếp nhận hàng theo đúng kế hoạch đã được thông báo trước.</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7.2. Kiểm tra tính toàn vẹn của kiện hàng, khóa và niêm phong trước khi nhận hàng và thông báo cho bên gửi hàng về việc đã nhận được hàng hoặc không nhận được ngay sau thời gian dự kiến.</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7.3. Áp dụng các biện pháp bảo đảm an ninh vật liệu hạt nhân theo quy định tại Thông tư này sau khi tiếp nhận hàng.</w:t>
      </w:r>
    </w:p>
    <w:p w:rsidR="00593055" w:rsidRPr="00B539A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7.4. Thông báo ngay cho bên gửi hàng và báo cáo Cục An toàn bức xạ và hạt nhân và Sở Khoa học và Công nghệ khi phát hiện kiện hàng nhận được không đúng hợp đồng vận chuyển về chủng loại, số lượng hoặc kiện hàng có dấu hiệu bị hư hỏng, bị tháo dỡ, mất niêm phong hoặc bị rò rỉ phóng xạ.</w:t>
      </w:r>
    </w:p>
    <w:p w:rsidR="00593055"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7.5. Tham gia khắc phục hậu quả cùng với các bên liên quan khi sự cố mất an ninh xảy ra.</w:t>
      </w:r>
    </w:p>
    <w:p w:rsidR="00593055" w:rsidRDefault="00593055" w:rsidP="00593055">
      <w:pPr>
        <w:spacing w:after="0" w:line="240" w:lineRule="auto"/>
        <w:jc w:val="both"/>
        <w:rPr>
          <w:rFonts w:ascii="Arial" w:hAnsi="Arial" w:cs="Arial"/>
          <w:color w:val="000000" w:themeColor="text1"/>
          <w:sz w:val="20"/>
          <w:szCs w:val="20"/>
        </w:rPr>
      </w:pPr>
    </w:p>
    <w:p w:rsidR="00593055" w:rsidRDefault="00593055" w:rsidP="00593055">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________________________________</w:t>
      </w:r>
    </w:p>
    <w:p w:rsidR="00593055" w:rsidRPr="002770C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1 </w:t>
      </w:r>
      <w:r w:rsidRPr="002770CF">
        <w:rPr>
          <w:rFonts w:ascii="Arial" w:hAnsi="Arial" w:cs="Arial"/>
          <w:color w:val="000000" w:themeColor="text1"/>
          <w:sz w:val="20"/>
          <w:szCs w:val="20"/>
        </w:rPr>
        <w:t>Tất cả Plutoni ngoại trừ Plutoni</w:t>
      </w:r>
      <w:r>
        <w:rPr>
          <w:rFonts w:ascii="Arial" w:hAnsi="Arial" w:cs="Arial"/>
          <w:color w:val="000000" w:themeColor="text1"/>
          <w:sz w:val="20"/>
          <w:szCs w:val="20"/>
        </w:rPr>
        <w:t xml:space="preserve"> có hàm lượng Pu-238 vượt quá 80%.</w:t>
      </w:r>
    </w:p>
    <w:p w:rsidR="00593055" w:rsidRPr="002770C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2 </w:t>
      </w:r>
      <w:r w:rsidRPr="002770CF">
        <w:rPr>
          <w:rFonts w:ascii="Arial" w:hAnsi="Arial" w:cs="Arial"/>
          <w:color w:val="000000" w:themeColor="text1"/>
          <w:sz w:val="20"/>
          <w:szCs w:val="20"/>
        </w:rPr>
        <w:t>Vật liệu chưa chiếu xạ tr</w:t>
      </w:r>
      <w:r>
        <w:rPr>
          <w:rFonts w:ascii="Arial" w:hAnsi="Arial" w:cs="Arial"/>
          <w:color w:val="000000" w:themeColor="text1"/>
          <w:sz w:val="20"/>
          <w:szCs w:val="20"/>
        </w:rPr>
        <w:t xml:space="preserve">ong lò phản ứng hoặc đã chiếu xạ trong lò phản ứng nhưng có mức phóng xạ </w:t>
      </w:r>
      <w:r>
        <w:rPr>
          <w:rFonts w:ascii="Arial Narrow" w:hAnsi="Arial Narrow" w:cs="Arial"/>
          <w:color w:val="000000" w:themeColor="text1"/>
          <w:sz w:val="20"/>
          <w:szCs w:val="20"/>
        </w:rPr>
        <w:t xml:space="preserve">≤ 100Gy/h tại </w:t>
      </w:r>
      <w:r>
        <w:rPr>
          <w:rFonts w:ascii="Arial" w:hAnsi="Arial" w:cs="Arial"/>
          <w:color w:val="000000" w:themeColor="text1"/>
          <w:sz w:val="20"/>
          <w:szCs w:val="20"/>
        </w:rPr>
        <w:t>vị trí 1 mét và không được che chắn.</w:t>
      </w:r>
    </w:p>
    <w:p w:rsidR="00593055" w:rsidRPr="002770CF" w:rsidRDefault="00593055" w:rsidP="00593055">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3 </w:t>
      </w:r>
      <w:r>
        <w:rPr>
          <w:rFonts w:ascii="Arial" w:hAnsi="Arial" w:cs="Arial"/>
          <w:color w:val="000000" w:themeColor="text1"/>
          <w:sz w:val="20"/>
          <w:szCs w:val="20"/>
        </w:rPr>
        <w:t>Đối với các loại nhiên liệu khác có hàm lượng vật liệu hạt nhân nằm trong Nhóm I hoặc II trước khi chiếu xạ có thể được giảm xuống một nhóm với mức phóng xạ của nhiên liệu vượt quá 100 Gy/h tại khoảng cách 1 mét và không được che chắn.</w:t>
      </w:r>
    </w:p>
    <w:p w:rsidR="00593055" w:rsidRPr="002770C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4 </w:t>
      </w:r>
      <w:r w:rsidRPr="002770CF">
        <w:rPr>
          <w:rFonts w:ascii="Arial" w:hAnsi="Arial" w:cs="Arial"/>
          <w:color w:val="000000" w:themeColor="text1"/>
          <w:sz w:val="20"/>
          <w:szCs w:val="20"/>
        </w:rPr>
        <w:t>Khu vực hạn chế ra vào là</w:t>
      </w:r>
      <w:r>
        <w:rPr>
          <w:rFonts w:ascii="Arial" w:hAnsi="Arial" w:cs="Arial"/>
          <w:color w:val="000000" w:themeColor="text1"/>
          <w:sz w:val="20"/>
          <w:szCs w:val="20"/>
        </w:rPr>
        <w:t xml:space="preserve"> khu vực có cơ sở hạt nhân, vật liệu hạt nhân, trong đó việc ra vào được kiểm soát nhằm bảo đảm an ninh.</w:t>
      </w:r>
    </w:p>
    <w:p w:rsidR="00593055" w:rsidRPr="002770CF" w:rsidRDefault="00593055" w:rsidP="00593055">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5 </w:t>
      </w:r>
      <w:r w:rsidRPr="002770CF">
        <w:rPr>
          <w:rFonts w:ascii="Arial" w:hAnsi="Arial" w:cs="Arial"/>
          <w:color w:val="000000" w:themeColor="text1"/>
          <w:sz w:val="20"/>
          <w:szCs w:val="20"/>
        </w:rPr>
        <w:t>Khu vực được bảo vệ</w:t>
      </w:r>
      <w:r>
        <w:rPr>
          <w:rFonts w:ascii="Arial" w:hAnsi="Arial" w:cs="Arial"/>
          <w:color w:val="000000" w:themeColor="text1"/>
          <w:sz w:val="20"/>
          <w:szCs w:val="20"/>
        </w:rPr>
        <w:t xml:space="preserve"> là khu vực trong đó có vật liệu hạt nhân nhóm I, nhóm II hoặc khu vực trọng yếu, được bao quanh bởi rào cản vật lý; khu vực được bảo vệ nằm trong khu vực hạn chế ra vào. Trong đấy, Khu vực trọng yếu là khu vực trong đó có vật liệu hạt nhân, hệ thống hoặc thiết bị mà việc phá hoại chúng có thể trực tiếp hoặc gián tiếp dẫn tới hậu quả phóng xạ; khu vực trọng yếu nằm trong khu vực được bảo vệ của cơ sở hạt nhân.</w:t>
      </w:r>
    </w:p>
    <w:p w:rsidR="00593055" w:rsidRDefault="00593055" w:rsidP="00593055">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6 </w:t>
      </w:r>
      <w:r>
        <w:rPr>
          <w:rFonts w:ascii="Arial" w:hAnsi="Arial" w:cs="Arial"/>
          <w:color w:val="000000" w:themeColor="text1"/>
          <w:sz w:val="20"/>
          <w:szCs w:val="20"/>
        </w:rPr>
        <w:t>Khu vực kiểm soát đặc biệt là khu vực nằm trong khu vực được bảo vệ, nơi có sử dụng hoặc lưu giữ vật liệu hạt nhân nhóm I.</w:t>
      </w:r>
    </w:p>
    <w:p w:rsidR="00593055" w:rsidRDefault="00593055" w:rsidP="00593055">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7 </w:t>
      </w:r>
      <w:r>
        <w:rPr>
          <w:rFonts w:ascii="Arial" w:hAnsi="Arial" w:cs="Arial"/>
          <w:color w:val="000000" w:themeColor="text1"/>
          <w:sz w:val="20"/>
          <w:szCs w:val="20"/>
        </w:rPr>
        <w:t>Yêu cầu này áp dụng cho cả vận chuyển quá cảnh.</w:t>
      </w:r>
    </w:p>
    <w:p w:rsidR="0034473B" w:rsidRDefault="00593055">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55"/>
    <w:rsid w:val="00017AFF"/>
    <w:rsid w:val="000C3E46"/>
    <w:rsid w:val="0017574B"/>
    <w:rsid w:val="001D103E"/>
    <w:rsid w:val="00211129"/>
    <w:rsid w:val="002377CE"/>
    <w:rsid w:val="002E4ED0"/>
    <w:rsid w:val="002F21D8"/>
    <w:rsid w:val="003A101D"/>
    <w:rsid w:val="00503D2F"/>
    <w:rsid w:val="00571CBC"/>
    <w:rsid w:val="00593055"/>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7CD4D-C1BC-47C8-8EF5-02ACF427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055"/>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3114</Words>
  <Characters>17755</Characters>
  <Application>Microsoft Office Word</Application>
  <DocSecurity>0</DocSecurity>
  <Lines>147</Lines>
  <Paragraphs>41</Paragraphs>
  <ScaleCrop>false</ScaleCrop>
  <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2025-12-29T03:33:00Z</dcterms:created>
  <dcterms:modified xsi:type="dcterms:W3CDTF">2025-12-29T03:33:00Z</dcterms:modified>
</cp:coreProperties>
</file>